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14</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mgslih8zac2v" w:id="0"/>
      <w:bookmarkEnd w:id="0"/>
      <w:r w:rsidDel="00000000" w:rsidR="00000000" w:rsidRPr="00000000">
        <w:rPr>
          <w:b w:val="1"/>
          <w:sz w:val="46"/>
          <w:szCs w:val="46"/>
          <w:rtl w:val="0"/>
        </w:rPr>
        <w:t xml:space="preserve">Scaling AI Governance Across Organizations</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evolve and permeate various sectors, the need for robust governance frameworks becomes increasingly critical. Organizations are recognizing that effective AI governance not only mitigates risks but also enhances the value derived from AI initiatives. This chapter explores governance models specifically tailored for large enterprises, emphasizing the tools and platforms necessary for scalability, as well as the strategic significance of ethical governance in fostering trust among stakeholders.</w:t>
      </w:r>
    </w:p>
    <w:p w:rsidR="00000000" w:rsidDel="00000000" w:rsidP="00000000" w:rsidRDefault="00000000" w:rsidRPr="00000000" w14:paraId="00000004">
      <w:pPr>
        <w:spacing w:after="240" w:before="240" w:lineRule="auto"/>
        <w:rPr/>
      </w:pPr>
      <w:r w:rsidDel="00000000" w:rsidR="00000000" w:rsidRPr="00000000">
        <w:rPr>
          <w:rtl w:val="0"/>
        </w:rPr>
        <w:t xml:space="preserve">The rapid adoption of AI technologies across industries presents both opportunities and challenges. Enterprises must navigate a complex landscape of regulatory requirements, ethical considerations, and operational risks. In this context, the concept of AI governance emerges as a vital function that ensures compliance, promotes ethical standards, and aligns AI initiatives with organizational values and objectives.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amxl3khdzmto" w:id="1"/>
      <w:bookmarkEnd w:id="1"/>
      <w:r w:rsidDel="00000000" w:rsidR="00000000" w:rsidRPr="00000000">
        <w:rPr>
          <w:b w:val="1"/>
          <w:sz w:val="34"/>
          <w:szCs w:val="34"/>
          <w:rtl w:val="0"/>
        </w:rPr>
        <w:t xml:space="preserve">Understanding AI Governance</w:t>
      </w:r>
    </w:p>
    <w:p w:rsidR="00000000" w:rsidDel="00000000" w:rsidP="00000000" w:rsidRDefault="00000000" w:rsidRPr="00000000" w14:paraId="00000006">
      <w:pPr>
        <w:spacing w:after="240" w:before="240" w:lineRule="auto"/>
        <w:rPr/>
      </w:pPr>
      <w:r w:rsidDel="00000000" w:rsidR="00000000" w:rsidRPr="00000000">
        <w:rPr>
          <w:rtl w:val="0"/>
        </w:rPr>
        <w:t xml:space="preserve">AI governance encompasses the frameworks, policies, and practices that guide the responsible development, deployment, and use of AI systems. This governance is essential for ensuring that AI technologies are used ethically, transparently, and in alignment with the values of the organization and society at large. Governance models can vary widely depending on the size of the organization, the complexity of its AI initiatives, and the sectors in which it operates.</w:t>
      </w:r>
    </w:p>
    <w:p w:rsidR="00000000" w:rsidDel="00000000" w:rsidP="00000000" w:rsidRDefault="00000000" w:rsidRPr="00000000" w14:paraId="00000007">
      <w:pPr>
        <w:spacing w:after="240" w:before="240" w:lineRule="auto"/>
        <w:rPr/>
      </w:pPr>
      <w:r w:rsidDel="00000000" w:rsidR="00000000" w:rsidRPr="00000000">
        <w:rPr>
          <w:rtl w:val="0"/>
        </w:rPr>
        <w:t xml:space="preserve">For large enterprises, AI governance involves creating comprehensive strategies that address technical, ethical, legal, and societal aspects of AI. This includes establishing clear roles and responsibilities, implementing risk management practices, and fostering a culture of accountability. A well-structured governance model not only manages risks but also promotes innovation by instilling confidence in AI systems among employees, customers, and regulatory bodies.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n7q14pnzojd" w:id="2"/>
      <w:bookmarkEnd w:id="2"/>
      <w:r w:rsidDel="00000000" w:rsidR="00000000" w:rsidRPr="00000000">
        <w:rPr>
          <w:b w:val="1"/>
          <w:sz w:val="34"/>
          <w:szCs w:val="34"/>
          <w:rtl w:val="0"/>
        </w:rPr>
        <w:t xml:space="preserve">Governance Models for Large Enterprises</w:t>
      </w:r>
    </w:p>
    <w:p w:rsidR="00000000" w:rsidDel="00000000" w:rsidP="00000000" w:rsidRDefault="00000000" w:rsidRPr="00000000" w14:paraId="00000009">
      <w:pPr>
        <w:spacing w:after="240" w:before="240" w:lineRule="auto"/>
        <w:rPr/>
      </w:pPr>
      <w:r w:rsidDel="00000000" w:rsidR="00000000" w:rsidRPr="00000000">
        <w:rPr>
          <w:rtl w:val="0"/>
        </w:rPr>
        <w:t xml:space="preserve">Large enterprises often face unique challenges when it comes to scaling AI governance. Traditional governance models may not be sufficient, necessitating the adaptation or creation of tailored frameworks that can manage the intricacies of enterprise-level AI initiatives. Several governance models are emerging in response to these challenges.</w:t>
      </w:r>
    </w:p>
    <w:p w:rsidR="00000000" w:rsidDel="00000000" w:rsidP="00000000" w:rsidRDefault="00000000" w:rsidRPr="00000000" w14:paraId="0000000A">
      <w:pPr>
        <w:spacing w:after="240" w:before="240" w:lineRule="auto"/>
        <w:rPr/>
      </w:pPr>
      <w:r w:rsidDel="00000000" w:rsidR="00000000" w:rsidRPr="00000000">
        <w:rPr>
          <w:rtl w:val="0"/>
        </w:rPr>
        <w:t xml:space="preserve">The </w:t>
      </w:r>
      <w:r w:rsidDel="00000000" w:rsidR="00000000" w:rsidRPr="00000000">
        <w:rPr>
          <w:b w:val="1"/>
          <w:rtl w:val="0"/>
        </w:rPr>
        <w:t xml:space="preserve">Centralized Governance Model</w:t>
      </w:r>
      <w:r w:rsidDel="00000000" w:rsidR="00000000" w:rsidRPr="00000000">
        <w:rPr>
          <w:rtl w:val="0"/>
        </w:rPr>
        <w:t xml:space="preserve"> is one approach where a central authority, often a dedicated AI governance team, establishes policies and oversees AI initiatives across the organization. This model facilitates consistency and standardization, ensuring that all AI projects adhere to the same ethical and operational guidelines. However, it may also lead to bottlenecks if the central authority becomes overwhelmed by the demand for approvals or oversight.</w:t>
      </w:r>
    </w:p>
    <w:p w:rsidR="00000000" w:rsidDel="00000000" w:rsidP="00000000" w:rsidRDefault="00000000" w:rsidRPr="00000000" w14:paraId="0000000B">
      <w:pPr>
        <w:spacing w:after="240" w:before="240" w:lineRule="auto"/>
        <w:rPr/>
      </w:pPr>
      <w:r w:rsidDel="00000000" w:rsidR="00000000" w:rsidRPr="00000000">
        <w:rPr>
          <w:rtl w:val="0"/>
        </w:rPr>
        <w:t xml:space="preserve">Conversely, the </w:t>
      </w:r>
      <w:r w:rsidDel="00000000" w:rsidR="00000000" w:rsidRPr="00000000">
        <w:rPr>
          <w:b w:val="1"/>
          <w:rtl w:val="0"/>
        </w:rPr>
        <w:t xml:space="preserve">Decentralized Governance Model</w:t>
      </w:r>
      <w:r w:rsidDel="00000000" w:rsidR="00000000" w:rsidRPr="00000000">
        <w:rPr>
          <w:rtl w:val="0"/>
        </w:rPr>
        <w:t xml:space="preserve"> empowers individual business units or teams to manage their own AI projects within a broader framework of organizational guidelines. This approach fosters innovation and agility, allowing teams to respond quickly to market changes or organizational needs. However, it necessitates robust communication and coordination mechanisms to mitigate the risk of inconsistent practices and outcomes.</w:t>
      </w:r>
    </w:p>
    <w:p w:rsidR="00000000" w:rsidDel="00000000" w:rsidP="00000000" w:rsidRDefault="00000000" w:rsidRPr="00000000" w14:paraId="0000000C">
      <w:pPr>
        <w:spacing w:after="240" w:before="240" w:lineRule="auto"/>
        <w:rPr/>
      </w:pPr>
      <w:r w:rsidDel="00000000" w:rsidR="00000000" w:rsidRPr="00000000">
        <w:rPr>
          <w:rtl w:val="0"/>
        </w:rPr>
        <w:t xml:space="preserve">A hybrid model, often referred to as the </w:t>
      </w:r>
      <w:r w:rsidDel="00000000" w:rsidR="00000000" w:rsidRPr="00000000">
        <w:rPr>
          <w:b w:val="1"/>
          <w:rtl w:val="0"/>
        </w:rPr>
        <w:t xml:space="preserve">Federated Governance Model</w:t>
      </w:r>
      <w:r w:rsidDel="00000000" w:rsidR="00000000" w:rsidRPr="00000000">
        <w:rPr>
          <w:rtl w:val="0"/>
        </w:rPr>
        <w:t xml:space="preserve">, combines elements of both centralized and decentralized approaches. In this model, overarching principles and guidelines are established at the enterprise level, while individual units retain the autonomy to tailor their practices to fit specific needs. This flexibility can enhance innovation while maintaining a degree of oversight and control.</w:t>
      </w:r>
    </w:p>
    <w:p w:rsidR="00000000" w:rsidDel="00000000" w:rsidP="00000000" w:rsidRDefault="00000000" w:rsidRPr="00000000" w14:paraId="0000000D">
      <w:pPr>
        <w:pStyle w:val="Heading2"/>
        <w:keepNext w:val="0"/>
        <w:keepLines w:val="0"/>
        <w:spacing w:after="80" w:lineRule="auto"/>
        <w:rPr>
          <w:b w:val="1"/>
          <w:sz w:val="34"/>
          <w:szCs w:val="34"/>
        </w:rPr>
      </w:pPr>
      <w:bookmarkStart w:colFirst="0" w:colLast="0" w:name="_vnujmso2mcat" w:id="3"/>
      <w:bookmarkEnd w:id="3"/>
      <w:r w:rsidDel="00000000" w:rsidR="00000000" w:rsidRPr="00000000">
        <w:rPr>
          <w:b w:val="1"/>
          <w:sz w:val="34"/>
          <w:szCs w:val="34"/>
          <w:rtl w:val="0"/>
        </w:rPr>
        <w:t xml:space="preserve">Tools and Platforms for Scalability</w:t>
      </w:r>
    </w:p>
    <w:p w:rsidR="00000000" w:rsidDel="00000000" w:rsidP="00000000" w:rsidRDefault="00000000" w:rsidRPr="00000000" w14:paraId="0000000E">
      <w:pPr>
        <w:spacing w:after="240" w:before="240" w:lineRule="auto"/>
        <w:rPr/>
      </w:pPr>
      <w:r w:rsidDel="00000000" w:rsidR="00000000" w:rsidRPr="00000000">
        <w:rPr>
          <w:rtl w:val="0"/>
        </w:rPr>
        <w:t xml:space="preserve">As organizations scale their AI initiatives, they require tools and platforms that can support their governance frameworks effectively. Various technologies can play a role in facilitating the governance of AI, from data management and compliance tools to collaborative platforms for stakeholder engagement.</w:t>
      </w:r>
    </w:p>
    <w:p w:rsidR="00000000" w:rsidDel="00000000" w:rsidP="00000000" w:rsidRDefault="00000000" w:rsidRPr="00000000" w14:paraId="0000000F">
      <w:pPr>
        <w:spacing w:after="240" w:before="240" w:lineRule="auto"/>
        <w:rPr/>
      </w:pPr>
      <w:r w:rsidDel="00000000" w:rsidR="00000000" w:rsidRPr="00000000">
        <w:rPr>
          <w:rtl w:val="0"/>
        </w:rPr>
        <w:t xml:space="preserve">Data governance tools are essential for ensuring that AI systems are trained on high-quality, representative, and ethically sourced data. These tools help organizations maintain data integrity, track data lineage, and ensure compliance with data protection regulations. For instance, platforms that provide automated data cataloging and auditing capabilities can help organizations identify potential biases in their datasets, ensuring that AI models are built on a foundation of fairness and transparency.</w:t>
      </w:r>
    </w:p>
    <w:p w:rsidR="00000000" w:rsidDel="00000000" w:rsidP="00000000" w:rsidRDefault="00000000" w:rsidRPr="00000000" w14:paraId="00000010">
      <w:pPr>
        <w:spacing w:after="240" w:before="240" w:lineRule="auto"/>
        <w:rPr/>
      </w:pPr>
      <w:r w:rsidDel="00000000" w:rsidR="00000000" w:rsidRPr="00000000">
        <w:rPr>
          <w:rtl w:val="0"/>
        </w:rPr>
        <w:t xml:space="preserve">Compliance management platforms are also crucial for scaling AI governance. These tools assist organizations in monitoring and managing compliance with legal and regulatory requirements related to AI use. For example, organizations can leverage platforms that offer automated tracking of regulatory changes, enabling them to adapt their governance practices in real time.</w:t>
      </w:r>
    </w:p>
    <w:p w:rsidR="00000000" w:rsidDel="00000000" w:rsidP="00000000" w:rsidRDefault="00000000" w:rsidRPr="00000000" w14:paraId="00000011">
      <w:pPr>
        <w:spacing w:after="240" w:before="240" w:lineRule="auto"/>
        <w:rPr/>
      </w:pPr>
      <w:r w:rsidDel="00000000" w:rsidR="00000000" w:rsidRPr="00000000">
        <w:rPr>
          <w:rtl w:val="0"/>
        </w:rPr>
        <w:t xml:space="preserve">Collaboration and communication tools play a significant role in fostering stakeholder engagement and transparency. These platforms allow for the sharing of best practices, insights, and lessons learned across teams, thereby promoting a culture of accountability and shared responsibility for AI governance. By facilitating open dialogue, organizations can build trust among stakeholders and enhance their commitment to ethical AI practices.</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y5guf6nbd3gj" w:id="4"/>
      <w:bookmarkEnd w:id="4"/>
      <w:r w:rsidDel="00000000" w:rsidR="00000000" w:rsidRPr="00000000">
        <w:rPr>
          <w:b w:val="1"/>
          <w:sz w:val="34"/>
          <w:szCs w:val="34"/>
          <w:rtl w:val="0"/>
        </w:rPr>
        <w:t xml:space="preserve">The Strategic Value of Ethical Governance</w:t>
      </w:r>
    </w:p>
    <w:p w:rsidR="00000000" w:rsidDel="00000000" w:rsidP="00000000" w:rsidRDefault="00000000" w:rsidRPr="00000000" w14:paraId="00000013">
      <w:pPr>
        <w:spacing w:after="240" w:before="240" w:lineRule="auto"/>
        <w:rPr/>
      </w:pPr>
      <w:r w:rsidDel="00000000" w:rsidR="00000000" w:rsidRPr="00000000">
        <w:rPr>
          <w:rtl w:val="0"/>
        </w:rPr>
        <w:t xml:space="preserve">The strategic value of ethical governance in AI cannot be overstated. As organizations increasingly rely on AI technologies, stakeholders â€“ including customers, employees, and investors â€“ are placing greater emphasis on ethical considerations. A robust ethical governance framework not only helps organizations manage risks but also positions them as leaders in responsible AI use.</w:t>
      </w:r>
    </w:p>
    <w:p w:rsidR="00000000" w:rsidDel="00000000" w:rsidP="00000000" w:rsidRDefault="00000000" w:rsidRPr="00000000" w14:paraId="00000014">
      <w:pPr>
        <w:spacing w:after="240" w:before="240" w:lineRule="auto"/>
        <w:rPr/>
      </w:pPr>
      <w:r w:rsidDel="00000000" w:rsidR="00000000" w:rsidRPr="00000000">
        <w:rPr>
          <w:rtl w:val="0"/>
        </w:rPr>
        <w:t xml:space="preserve">Ethical governance fosters trust, which is essential for the successful adoption of AI technologies. When stakeholders perceive that an organization is committed to responsible AI practices, they are more likely to engage with its products and services. This trust can translate into competitive advantages, enhanced brand reputation, and increased customer loyalty.</w:t>
      </w:r>
    </w:p>
    <w:p w:rsidR="00000000" w:rsidDel="00000000" w:rsidP="00000000" w:rsidRDefault="00000000" w:rsidRPr="00000000" w14:paraId="00000015">
      <w:pPr>
        <w:spacing w:after="240" w:before="240" w:lineRule="auto"/>
        <w:rPr/>
      </w:pPr>
      <w:r w:rsidDel="00000000" w:rsidR="00000000" w:rsidRPr="00000000">
        <w:rPr>
          <w:rtl w:val="0"/>
        </w:rPr>
        <w:t xml:space="preserve">Moreover, ethical governance can drive innovation. Organizations that prioritize ethical considerations in their AI initiatives are better equipped to identify and mitigate potential risks, allowing them to explore new opportunities without compromising their values. This proactive approach to governance encourages a culture of experimentation and learning, ultimately leading to more innovative and impactful AI solutions.</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y8n9qt5c0dw8" w:id="5"/>
      <w:bookmarkEnd w:id="5"/>
      <w:r w:rsidDel="00000000" w:rsidR="00000000" w:rsidRPr="00000000">
        <w:rPr>
          <w:b w:val="1"/>
          <w:sz w:val="34"/>
          <w:szCs w:val="34"/>
          <w:rtl w:val="0"/>
        </w:rPr>
        <w:t xml:space="preserve">Conclusion</w:t>
      </w:r>
    </w:p>
    <w:p w:rsidR="00000000" w:rsidDel="00000000" w:rsidP="00000000" w:rsidRDefault="00000000" w:rsidRPr="00000000" w14:paraId="00000017">
      <w:pPr>
        <w:spacing w:after="240" w:before="240" w:lineRule="auto"/>
        <w:rPr/>
      </w:pPr>
      <w:r w:rsidDel="00000000" w:rsidR="00000000" w:rsidRPr="00000000">
        <w:rPr>
          <w:rtl w:val="0"/>
        </w:rPr>
        <w:t xml:space="preserve">In conclusion, scaling AI governance across large enterprises is a multifaceted challenge that requires the development of tailored governance models, the implementation of effective tools and platforms, and a commitment to ethical practices. As organizations navigate the complexities of AI adoption, establishing a robust governance framework is essential for managing risks, enhancing trust, and fostering innovation.</w:t>
      </w:r>
    </w:p>
    <w:p w:rsidR="00000000" w:rsidDel="00000000" w:rsidP="00000000" w:rsidRDefault="00000000" w:rsidRPr="00000000" w14:paraId="00000018">
      <w:pPr>
        <w:rPr/>
      </w:pPr>
      <w:r w:rsidDel="00000000" w:rsidR="00000000" w:rsidRPr="00000000">
        <w:rPr>
          <w:sz w:val="24"/>
          <w:szCs w:val="24"/>
          <w:rtl w:val="0"/>
        </w:rPr>
        <w:t xml:space="preserve">By understanding the unique dynamics of their organizational context, leaders can design governance strategies that align with their values and objectives. Emphasizing ethical governance not only contributes to compliance and risk management but also positions organizations as responsible stewards of AI technology. As the landscape of AI continues to evolve, the importance of strategic, scalable, and ethical governance will only grow, shaping the future of AI in a manner that benefits both organizations and society as a whole.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